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95</w:t>
      </w:r>
    </w:p>
    <w:p>
      <w:r>
        <w:t>Bundesgericht (BGE), 1973-05-28, DE</w:t>
      </w:r>
    </w:p>
    <w:p>
      <w:r>
        <w:rPr>
          <w:b/>
        </w:rPr>
        <w:t xml:space="preserve">Quelle: </w:t>
      </w:r>
      <w:r>
        <w:t>https://mcp.opencaselaw.ch/entscheid/bge_99 V 95</w:t>
      </w:r>
    </w:p>
    <w:p>
      <w:r>
        <w:t>FR: ATF 99 V 95</w:t>
      </w:r>
    </w:p>
    <w:p>
      <w:r>
        <w:t>IT: DTF 99 V 95</w:t>
      </w:r>
    </w:p>
    <w:p>
      <w:pPr>
        <w:pStyle w:val="Heading2"/>
      </w:pPr>
      <w:r>
        <w:t>Regeste</w:t>
      </w:r>
    </w:p>
    <w:p>
      <w:r>
        <w:t>Regeste Um einen Taggeldanspruch während der Eingliederung zu begründen, muss die Arbeitsunfähigkeit von mindestens 50% (Art. 22 Abs. 1 IVG) zwar nicht eine Folge der Eingliederung sein, wohl aber vom Gesundheitsschaden herrühren. Voraussetzungen des Taggeldanspruchs während der Eingliederung (Art. 22 Abs. 1 IVG).</w:t>
      </w:r>
    </w:p>
    <w:p>
      <w:pPr>
        <w:pStyle w:val="Heading2"/>
      </w:pPr>
      <w:r>
        <w:t>Erwägungen</w:t>
      </w:r>
    </w:p>
    <w:p>
      <w:r>
        <w:rPr>
          <w:b/>
        </w:rPr>
        <w:t>E. 1</w:t>
      </w:r>
    </w:p>
    <w:p>
      <w:r>
        <w:t>...</w:t>
      </w:r>
    </w:p>
    <w:p>
      <w:r>
        <w:rPr>
          <w:b/>
        </w:rPr>
        <w:t>E. 2</w:t>
      </w:r>
    </w:p>
    <w:p>
      <w:r>
        <w:t>Nach Art. 22 Abs. 1 IVG hat der Versicherte während der Eingliederung Anspruch auf ein Taggeld, "wenn er an wenigstens drei aufeinanderfolgenden Tagen wegen der Eingliederung verhindert ist, einer Arbeit nachzugehen, oder zu mindestens 50 Prozent arbeitsunfähig ist". Die mindestens hälftige Arbeitsunfähigkeit in diesem zweiten Fall muss - entgegen der Auffassung der Vorinstanz - nicht durch die Eingliederungsmassnahmen verursacht sein, sondern sie ist eine Folge des Gesundheitszustandes (EVGE 1963 S. 285). Ferner ist zu beachten, dass Taggelder eine akzessorische Leistung zu bestimmten Eingliederungsmassnahmen sind und somit - von Wartezeiten abgesehen - grundsätzlich bloss ausgerichtet werden können, wenn und solange Eingliederungsmassnahmen zur Durchführung gelangen. Nur wenn am Schluss einer Eingliederungsperiode entweder die Wiedererlangung rentenausschliessender Erwerbsfähigkeit oder eine neue Eingliederungsperiode BGE 99 V 95 S. 96 von erheblicher Dauer bevorsteht, rechtfertigt es sich, das Taggeld vorläufig weiter zu gewähren und von der Zusprechung einer Rente abzusehen. In allen andern Fällen erlöscht der Taggeldanspruch mit der Entstehung des Rentenanspruchs (EVGE 1966 S. 41). Diesen soeben dargelegten Grundsatz der Akzessorietät der Taggelder hat die Invalidenversicherungs-Kommission nicht berücksichtigt, indem sie nach Beendigung des Arbeitsversuchs in der Firma M. Ende Oktober 1971 vom behandelnden Arzt periodisch Bescheinigungen über die Arbeitsunfähigkeit des Beschwerdeführers eingeholt hat und gestützt auf diese Atteste weiterhin Taggeld ausrichten liess, ohne sich darum zu kümmern, ob überhaupt noch Eingliederungsmassnahmen durchgeführt würden.</w:t>
      </w:r>
    </w:p>
    <w:p>
      <w:r>
        <w:rPr>
          <w:b/>
        </w:rPr>
        <w:t>E. 3</w:t>
      </w:r>
    </w:p>
    <w:p>
      <w:r>
        <w:t>Der von der Invalidenversicherungs-Kommission angeordnete Arbeitsversuch in der Firma M. war am 31. Oktober 1971 beendet. Weitere Eingliederungsmassnahmen wurden nachher nicht mehr durchgeführt. Der Taggeldanspruch war daher ebenfalls nur bis Ende Oktober 1971 gegeben. Immerhin ist darauf hinzuweisen, dass die Invalidenversicherungs-Kommission anfangs 1972 der Regionalstelle einen neuen Auftrag zur Abklärung der Eingliederungsmöglichkeiten erteilt hat. Dem Beschwerdeführer wurde dies mitgeteilt, und in der Verwaltungsgerichtsbeschwerde beruft er sich denn auch darauf. Doch vermag er daraus keinen Taggeldanspruch abzuleiten. Art. 18 Abs. 1 IVV , welcher den Anspruch auf Taggeld während Wartezeiten regelt, sieht eine solche Leistung vor für den mindestens hälftig arbeitsunfähigen Versicherten, der auf die Durchführung "der angeordneten Eingliederungsmassnahmen wartet". Dieser Sachverhalt liegt hier nicht vor, denn mit dem Auftrag zur Abklärung allfälliger Eingliederungsmöglichkeiten ist die Eingliederungsmassnahme selber noch nicht im Sinn des Art. 18 Abs. 1 IVV "angeordnet". Schliesslich sei auch noch auf Art. 19 IVV verwiesen, wonach der Versicherte für die Zeit, während der er auf die Vermittlung geeigneter Arbeit wartet, grundsätzlich keinen Anspruch auf Taggeld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